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7B4" w:rsidRPr="000727B4" w:rsidRDefault="000727B4" w:rsidP="000727B4">
      <w:pPr>
        <w:pStyle w:val="1"/>
        <w:keepNext/>
        <w:keepLines/>
        <w:shd w:val="clear" w:color="auto" w:fill="auto"/>
        <w:spacing w:after="37" w:line="270" w:lineRule="exact"/>
        <w:ind w:left="142"/>
        <w:rPr>
          <w:sz w:val="32"/>
          <w:u w:val="single"/>
        </w:rPr>
      </w:pPr>
      <w:r w:rsidRPr="000727B4">
        <w:rPr>
          <w:sz w:val="32"/>
          <w:u w:val="single"/>
        </w:rPr>
        <w:t>ООО «Аршин»</w:t>
      </w:r>
    </w:p>
    <w:p w:rsidR="000727B4" w:rsidRPr="000727B4" w:rsidRDefault="000727B4" w:rsidP="000727B4">
      <w:pPr>
        <w:pStyle w:val="a3"/>
        <w:ind w:left="142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1"/>
          <w:szCs w:val="21"/>
          <w:lang w:val="ru" w:eastAsia="ru-RU"/>
        </w:rPr>
        <w:t>Свидетельство НП Ассоциации СРО «ОСП» Регистрационный номер в государственном реестре саморегулируемых организаций СРО-П-086-15122009 Регистрационный номер в реестре членов саморегулируемых организации №177 от 08.02.2018 г.</w:t>
      </w:r>
    </w:p>
    <w:p w:rsidR="000727B4" w:rsidRPr="000727B4" w:rsidRDefault="000727B4" w:rsidP="000727B4">
      <w:pPr>
        <w:pStyle w:val="a3"/>
        <w:ind w:left="142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1"/>
          <w:szCs w:val="21"/>
          <w:lang w:val="ru" w:eastAsia="ru-RU"/>
        </w:rPr>
        <w:t xml:space="preserve">Юр. адрес: 214030г. Смоленск, пер. Тургенева, д.7 Факт. адрес: 214000, г. Смоленск, Рабочий пер., д.4, Тел. (4812)-68-31-81 </w:t>
      </w:r>
      <w:r w:rsidR="00E42B1F">
        <w:rPr>
          <w:rFonts w:ascii="Times New Roman" w:eastAsia="Times New Roman" w:hAnsi="Times New Roman" w:cs="Times New Roman"/>
          <w:color w:val="000000"/>
          <w:sz w:val="21"/>
          <w:szCs w:val="21"/>
          <w:lang w:val="ru" w:eastAsia="ru-RU"/>
        </w:rPr>
        <w:t xml:space="preserve"> </w:t>
      </w:r>
      <w:r w:rsidRPr="000727B4">
        <w:rPr>
          <w:rFonts w:ascii="Times New Roman" w:eastAsia="Times New Roman" w:hAnsi="Times New Roman" w:cs="Times New Roman"/>
          <w:color w:val="000000"/>
          <w:sz w:val="21"/>
          <w:szCs w:val="21"/>
          <w:lang w:val="ru" w:eastAsia="ru-RU"/>
        </w:rPr>
        <w:t xml:space="preserve"> эл. адрес: ARSHIN67@yandex.ru</w:t>
      </w:r>
    </w:p>
    <w:p w:rsidR="000727B4" w:rsidRDefault="000727B4" w:rsidP="000727B4">
      <w:pPr>
        <w:pStyle w:val="a3"/>
        <w:ind w:left="142"/>
      </w:pPr>
    </w:p>
    <w:p w:rsidR="000727B4" w:rsidRPr="000727B4" w:rsidRDefault="000727B4" w:rsidP="000727B4">
      <w:pPr>
        <w:pStyle w:val="30"/>
        <w:shd w:val="clear" w:color="auto" w:fill="auto"/>
        <w:spacing w:before="0"/>
        <w:ind w:left="142"/>
        <w:rPr>
          <w:rFonts w:cs="Times New Roman"/>
          <w:b/>
          <w:bCs/>
          <w:color w:val="000000"/>
          <w:lang w:val="ru" w:eastAsia="ru-RU"/>
        </w:rPr>
      </w:pPr>
      <w:r w:rsidRPr="000727B4">
        <w:rPr>
          <w:rFonts w:cs="Times New Roman"/>
          <w:b/>
          <w:bCs/>
          <w:color w:val="000000"/>
          <w:lang w:val="ru" w:eastAsia="ru-RU"/>
        </w:rPr>
        <w:t>Техническое обоснование отклонения от предельных параметров строительства здания склада в границах, в пределах которых размещается строительство ОКС, установленных градостроительным планом земельного участка № РФ-67-2-02-0-00-2022-7310, по адресу: Смоленская область, город Смоленск, ул. Смольянинова, уч. 3.</w:t>
      </w:r>
    </w:p>
    <w:p w:rsidR="000727B4" w:rsidRDefault="000727B4" w:rsidP="000727B4">
      <w:pPr>
        <w:pStyle w:val="30"/>
        <w:shd w:val="clear" w:color="auto" w:fill="auto"/>
        <w:spacing w:before="0"/>
        <w:ind w:left="142"/>
        <w:rPr>
          <w:rFonts w:cs="Times New Roman"/>
          <w:b/>
          <w:bCs/>
          <w:color w:val="000000"/>
          <w:lang w:val="ru" w:eastAsia="ru-RU"/>
        </w:rPr>
      </w:pPr>
      <w:r w:rsidRPr="000727B4">
        <w:rPr>
          <w:rFonts w:cs="Times New Roman"/>
          <w:b/>
          <w:bCs/>
          <w:color w:val="000000"/>
          <w:lang w:val="ru" w:eastAsia="ru-RU"/>
        </w:rPr>
        <w:t>кадастровый номер земельного участка 67:27:0031002:0239</w:t>
      </w:r>
    </w:p>
    <w:p w:rsidR="000727B4" w:rsidRPr="000727B4" w:rsidRDefault="000727B4" w:rsidP="000727B4">
      <w:pPr>
        <w:pStyle w:val="30"/>
        <w:shd w:val="clear" w:color="auto" w:fill="auto"/>
        <w:spacing w:before="0"/>
        <w:ind w:left="142"/>
        <w:rPr>
          <w:rFonts w:cs="Times New Roman"/>
          <w:b/>
          <w:bCs/>
          <w:color w:val="000000"/>
          <w:lang w:val="ru" w:eastAsia="ru-RU"/>
        </w:rPr>
      </w:pP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Обследование земельного участка по адресу: г. Смоленск, ул. Смольянинова производилось в декабре 2021 года.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Заказчик: Германов Алексей Александрович</w:t>
      </w:r>
      <w:r w:rsidR="00E42B1F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ru" w:eastAsia="ru-RU"/>
        </w:rPr>
        <w:t>Цель обследования: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Определение возможности отклонения от допустимого места размещения строительства здания «Склада, с уменьшением отступов от предельно допустимых параметров, установленными градостроительным планом земельного участка № 67-2-02-0-00-2022-7310.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ru" w:eastAsia="ru-RU"/>
        </w:rPr>
        <w:t>Установлено: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Обследуемый участок находится в Промышленном районе, расположен в территориальной зоне – П3-Зона размещения производственных объектов III</w:t>
      </w:r>
      <w:r w:rsidR="00E42B1F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-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V классов.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Земельный участок принадлежит Германов</w:t>
      </w:r>
      <w:r w:rsidR="00E42B1F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у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 Алекс</w:t>
      </w:r>
      <w:r w:rsidR="00E42B1F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ею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 Александрович</w:t>
      </w:r>
      <w:r w:rsidR="00E42B1F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у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, площадь земельного участка – 2618 кв.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 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м., вид разрешенного использования - по документу - складские объекты.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Вид права - собственность. Рельеф участка спокойный. 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С севера участок прилегает к землям населенного пункта по документу: Под нежилые помещения в здании АБК, с юга – земельный участок 3В – складской комплекс по документу., с запада- по документу: автомобильный транспорт (проезды общего пользования), востока-по документу «Для строительства производственного здания.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Въезд на участок организован со стороны существующего проезда (земель общего пользования, через участок оформленный по документу 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под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 ангарами №3,4. Земельный участок принадлежит Германову А.А. на праве собственности.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На земельном участке, принадлежащем Германову А.А., зарегистрировано два объекта капитального строительства: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Нежилое здание, Металлический ангар общей площадью 499,3 кв.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 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м. и Нежилое здание, Металлический ангар, площадью 467,8 кв</w:t>
      </w:r>
      <w:r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. 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м. в дальнейшем планируется к сносу.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Градостроительная ситуация и потребности складского объекта диктуют снос существующего нежилого здания площадью 467.8 кв. м. и размещение двух современных складских объектов, устройство парковочных мест, разгрузочно-погрузочных площадок.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Предполагаемые здания склада – отдельно стоящее, одноэтажное с антресолью, прямоугольной конфигурации, площадью ~434 кв. м, размерами в плане 14,4х30.2 м.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Градостроительные параметры и ограничения для проектирования установлены Градостроительным планом земельного участка № РФ- 67-2-02-0-00-2022-7310 от 10.02.2022, а именно - минимальные отступы от границ земельного участка для разрешения</w:t>
      </w:r>
      <w:r w:rsidR="00970A16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 объектов 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капитальных зданий по 3 метра от границы участка</w:t>
      </w:r>
      <w:r w:rsidR="00970A16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, а для размещения объекта требуется 1,5 м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.</w:t>
      </w:r>
      <w:r w:rsidR="00970A16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 с юго-западной стороны.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Размещение складского объекта, с нарушением стандартного отступа от границы участка, позволяет увеличить площадь объекта складирования с соблюдением необходимых габаритов и технологию складирования, а также соблюсти сложившеюся линию застройки и архитектурное решение складского объекта.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lastRenderedPageBreak/>
        <w:t>При размещении здания соблюдаются градостроительные, пожарные и санитарные требования.</w:t>
      </w:r>
    </w:p>
    <w:p w:rsidR="000727B4" w:rsidRPr="00C04647" w:rsidRDefault="000727B4" w:rsidP="00C04647">
      <w:pPr>
        <w:pStyle w:val="a3"/>
        <w:ind w:left="142" w:firstLine="425"/>
        <w:jc w:val="center"/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ru" w:eastAsia="ru-RU"/>
        </w:rPr>
      </w:pPr>
      <w:r w:rsidRPr="00C04647">
        <w:rPr>
          <w:rFonts w:ascii="Times New Roman" w:eastAsia="Times New Roman" w:hAnsi="Times New Roman" w:cs="Times New Roman"/>
          <w:b/>
          <w:color w:val="000000"/>
          <w:sz w:val="25"/>
          <w:szCs w:val="25"/>
          <w:lang w:val="ru" w:eastAsia="ru-RU"/>
        </w:rPr>
        <w:t>Заключение.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Отклонение от предельно допустимых параметров места допустимого размещения </w:t>
      </w:r>
      <w:proofErr w:type="spellStart"/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ОКСа</w:t>
      </w:r>
      <w:proofErr w:type="spellEnd"/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 xml:space="preserve"> - склада не нарушат градостроительные, пожарные и санитарные требования.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Приложения</w:t>
      </w:r>
    </w:p>
    <w:p w:rsidR="000727B4" w:rsidRP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1.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ab/>
        <w:t>Графическая информация по вопросу предоставления разрешения на отклонение от предельных параметров.</w:t>
      </w:r>
    </w:p>
    <w:p w:rsid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>2.</w:t>
      </w:r>
      <w:r w:rsidRPr="000727B4"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  <w:tab/>
        <w:t xml:space="preserve">Выписка ЕГРН </w:t>
      </w:r>
    </w:p>
    <w:p w:rsid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</w:p>
    <w:p w:rsidR="000727B4" w:rsidRDefault="000727B4" w:rsidP="000727B4">
      <w:pPr>
        <w:pStyle w:val="a3"/>
        <w:ind w:left="142" w:firstLine="425"/>
        <w:rPr>
          <w:rFonts w:ascii="Times New Roman" w:eastAsia="Times New Roman" w:hAnsi="Times New Roman" w:cs="Times New Roman"/>
          <w:color w:val="000000"/>
          <w:sz w:val="25"/>
          <w:szCs w:val="25"/>
          <w:lang w:val="ru" w:eastAsia="ru-RU"/>
        </w:rPr>
      </w:pPr>
    </w:p>
    <w:tbl>
      <w:tblPr>
        <w:tblStyle w:val="a4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3"/>
        <w:gridCol w:w="2981"/>
      </w:tblGrid>
      <w:tr w:rsidR="000727B4" w:rsidTr="00E42B1F">
        <w:trPr>
          <w:trHeight w:val="567"/>
        </w:trPr>
        <w:tc>
          <w:tcPr>
            <w:tcW w:w="7083" w:type="dxa"/>
          </w:tcPr>
          <w:p w:rsidR="000727B4" w:rsidRDefault="000727B4" w:rsidP="000727B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</w:pPr>
            <w:r w:rsidRPr="000727B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  <w:t>Разработал</w:t>
            </w:r>
          </w:p>
          <w:p w:rsidR="003D4315" w:rsidRDefault="003D4315" w:rsidP="000727B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</w:pPr>
          </w:p>
          <w:p w:rsidR="003D4315" w:rsidRDefault="003D4315" w:rsidP="000727B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</w:pPr>
          </w:p>
          <w:p w:rsidR="003D4315" w:rsidRDefault="003D4315" w:rsidP="000727B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</w:pPr>
          </w:p>
          <w:p w:rsidR="003D4315" w:rsidRDefault="003D4315" w:rsidP="000727B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</w:pPr>
          </w:p>
        </w:tc>
        <w:tc>
          <w:tcPr>
            <w:tcW w:w="2981" w:type="dxa"/>
          </w:tcPr>
          <w:p w:rsidR="000727B4" w:rsidRDefault="000727B4" w:rsidP="000727B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  <w:t>Королев Д. Е.</w:t>
            </w:r>
          </w:p>
        </w:tc>
      </w:tr>
      <w:tr w:rsidR="000727B4" w:rsidTr="00E42B1F">
        <w:trPr>
          <w:trHeight w:val="567"/>
        </w:trPr>
        <w:tc>
          <w:tcPr>
            <w:tcW w:w="7083" w:type="dxa"/>
          </w:tcPr>
          <w:p w:rsidR="000727B4" w:rsidRDefault="000727B4" w:rsidP="000727B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</w:pPr>
            <w:r w:rsidRPr="000727B4"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  <w:t>Директор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  <w:t xml:space="preserve"> ООО «Аршин»</w:t>
            </w:r>
          </w:p>
        </w:tc>
        <w:tc>
          <w:tcPr>
            <w:tcW w:w="2981" w:type="dxa"/>
          </w:tcPr>
          <w:p w:rsidR="000727B4" w:rsidRDefault="000727B4" w:rsidP="000727B4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5"/>
                <w:szCs w:val="25"/>
                <w:lang w:val="ru" w:eastAsia="ru-RU"/>
              </w:rPr>
              <w:t xml:space="preserve"> Макаренков Ю. А.</w:t>
            </w:r>
          </w:p>
        </w:tc>
      </w:tr>
    </w:tbl>
    <w:p w:rsidR="000727B4" w:rsidRDefault="000727B4" w:rsidP="000727B4">
      <w:pPr>
        <w:pStyle w:val="30"/>
        <w:shd w:val="clear" w:color="auto" w:fill="auto"/>
        <w:spacing w:before="0"/>
        <w:ind w:left="120"/>
        <w:rPr>
          <w:b/>
          <w:bCs/>
          <w:color w:val="000000"/>
          <w:lang w:val="ru"/>
        </w:rPr>
      </w:pPr>
      <w:bookmarkStart w:id="0" w:name="_GoBack"/>
      <w:bookmarkEnd w:id="0"/>
    </w:p>
    <w:sectPr w:rsidR="000727B4" w:rsidSect="00C04647">
      <w:pgSz w:w="11906" w:h="16838"/>
      <w:pgMar w:top="851" w:right="28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D6648"/>
    <w:multiLevelType w:val="hybridMultilevel"/>
    <w:tmpl w:val="1632DB32"/>
    <w:lvl w:ilvl="0" w:tplc="6E1A59BC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B4"/>
    <w:rsid w:val="000727B4"/>
    <w:rsid w:val="003D4315"/>
    <w:rsid w:val="004C0842"/>
    <w:rsid w:val="00970A16"/>
    <w:rsid w:val="00A1335A"/>
    <w:rsid w:val="00C04647"/>
    <w:rsid w:val="00E4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CA49AC-086C-4097-9836-2FE1D2288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№1"/>
    <w:basedOn w:val="a"/>
    <w:link w:val="10"/>
    <w:rsid w:val="000727B4"/>
    <w:pPr>
      <w:shd w:val="clear" w:color="auto" w:fill="FFFFFF"/>
      <w:spacing w:after="1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7"/>
      <w:szCs w:val="27"/>
      <w:lang w:val="ru" w:eastAsia="ru-RU"/>
    </w:rPr>
  </w:style>
  <w:style w:type="character" w:customStyle="1" w:styleId="10">
    <w:name w:val="Заголовок №1_"/>
    <w:link w:val="1"/>
    <w:rsid w:val="000727B4"/>
    <w:rPr>
      <w:rFonts w:ascii="Times New Roman" w:eastAsia="Times New Roman" w:hAnsi="Times New Roman" w:cs="Times New Roman"/>
      <w:b/>
      <w:bCs/>
      <w:color w:val="000000"/>
      <w:sz w:val="27"/>
      <w:szCs w:val="27"/>
      <w:shd w:val="clear" w:color="auto" w:fill="FFFFFF"/>
      <w:lang w:val="ru" w:eastAsia="ru-RU"/>
    </w:rPr>
  </w:style>
  <w:style w:type="character" w:customStyle="1" w:styleId="3">
    <w:name w:val="Основной текст (3)_"/>
    <w:link w:val="30"/>
    <w:rsid w:val="000727B4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727B4"/>
    <w:pPr>
      <w:shd w:val="clear" w:color="auto" w:fill="FFFFFF"/>
      <w:spacing w:before="300" w:after="0" w:line="298" w:lineRule="exact"/>
      <w:jc w:val="center"/>
    </w:pPr>
    <w:rPr>
      <w:rFonts w:ascii="Times New Roman" w:eastAsia="Times New Roman" w:hAnsi="Times New Roman"/>
      <w:sz w:val="24"/>
      <w:szCs w:val="24"/>
    </w:rPr>
  </w:style>
  <w:style w:type="paragraph" w:styleId="a3">
    <w:name w:val="No Spacing"/>
    <w:uiPriority w:val="1"/>
    <w:qFormat/>
    <w:rsid w:val="000727B4"/>
    <w:pPr>
      <w:spacing w:after="0" w:line="240" w:lineRule="auto"/>
    </w:pPr>
  </w:style>
  <w:style w:type="table" w:styleId="a4">
    <w:name w:val="Table Grid"/>
    <w:basedOn w:val="a1"/>
    <w:uiPriority w:val="39"/>
    <w:rsid w:val="00072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D43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D43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Королев Денис Евгеньевич</dc:creator>
  <cp:keywords/>
  <dc:description/>
  <cp:lastModifiedBy>Забалуева Ирина Владимировна</cp:lastModifiedBy>
  <cp:revision>2</cp:revision>
  <cp:lastPrinted>2022-02-21T14:03:00Z</cp:lastPrinted>
  <dcterms:created xsi:type="dcterms:W3CDTF">2022-04-28T05:49:00Z</dcterms:created>
  <dcterms:modified xsi:type="dcterms:W3CDTF">2022-04-28T05:49:00Z</dcterms:modified>
</cp:coreProperties>
</file>