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Pr="004F5C1C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EF37C3" w:rsidRPr="00EF37C3">
        <w:rPr>
          <w:rFonts w:ascii="Times New Roman" w:hAnsi="Times New Roman" w:cs="Times New Roman"/>
          <w:sz w:val="28"/>
          <w:szCs w:val="28"/>
        </w:rPr>
        <w:t>от 22.07.2020 № 1591-адм  «Об утверждении Административного регламента предоставления Администрацией города Смоленска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5C1C" w:rsidRDefault="004F5C1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4F5C1C">
      <w:headerReference w:type="default" r:id="rId8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1C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F13CD"/>
    <w:rsid w:val="004F5C1C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EC024D"/>
    <w:rsid w:val="00EC69F1"/>
    <w:rsid w:val="00EF37C3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FD4E-BB29-4D10-97AF-31EA3B4A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26</cp:revision>
  <dcterms:created xsi:type="dcterms:W3CDTF">2017-02-21T12:46:00Z</dcterms:created>
  <dcterms:modified xsi:type="dcterms:W3CDTF">2021-01-19T13:18:00Z</dcterms:modified>
</cp:coreProperties>
</file>