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A4540A" w:rsidRDefault="00795955" w:rsidP="006F745B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="00A4540A">
        <w:rPr>
          <w:sz w:val="28"/>
        </w:rPr>
        <w:t xml:space="preserve">                                </w:t>
      </w:r>
      <w:r>
        <w:rPr>
          <w:sz w:val="28"/>
        </w:rPr>
        <w:t xml:space="preserve"> </w:t>
      </w:r>
      <w:r w:rsidR="00A4540A">
        <w:rPr>
          <w:sz w:val="28"/>
        </w:rPr>
        <w:t xml:space="preserve"> </w:t>
      </w:r>
      <w:r w:rsidR="00BF3D2D">
        <w:rPr>
          <w:b/>
          <w:sz w:val="28"/>
        </w:rPr>
        <w:t>ПРОЕКТ</w:t>
      </w:r>
      <w:r w:rsidR="009E51C8" w:rsidRPr="00A4540A">
        <w:rPr>
          <w:b/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823A1F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823A1F">
        <w:rPr>
          <w:sz w:val="28"/>
        </w:rPr>
        <w:t>20</w:t>
      </w:r>
      <w:r w:rsidR="001D118F">
        <w:rPr>
          <w:sz w:val="28"/>
        </w:rPr>
        <w:t xml:space="preserve"> № </w:t>
      </w:r>
      <w:r w:rsidR="00823A1F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823A1F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823A1F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823A1F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A82287">
        <w:rPr>
          <w:sz w:val="28"/>
        </w:rPr>
        <w:t>2</w:t>
      </w:r>
      <w:r w:rsidR="00BE3EED">
        <w:rPr>
          <w:sz w:val="28"/>
        </w:rPr>
        <w:t xml:space="preserve"> «</w:t>
      </w:r>
      <w:r w:rsidR="00A82287">
        <w:rPr>
          <w:rFonts w:ascii="Times New Roman CYR" w:hAnsi="Times New Roman CYR" w:cs="Times New Roman CYR"/>
          <w:sz w:val="28"/>
          <w:szCs w:val="28"/>
        </w:rPr>
        <w:t>Администрация</w:t>
      </w:r>
      <w:r w:rsidR="003571C1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A82287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906843">
              <w:rPr>
                <w:sz w:val="28"/>
                <w:szCs w:val="28"/>
                <w:lang w:val="en-US"/>
              </w:rPr>
              <w:t>49999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Pr="009F11AD" w:rsidRDefault="009F11AD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71D" w:rsidRDefault="0069271D">
      <w:r>
        <w:separator/>
      </w:r>
    </w:p>
  </w:endnote>
  <w:endnote w:type="continuationSeparator" w:id="0">
    <w:p w:rsidR="0069271D" w:rsidRDefault="00692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71D" w:rsidRDefault="0069271D">
      <w:r>
        <w:separator/>
      </w:r>
    </w:p>
  </w:footnote>
  <w:footnote w:type="continuationSeparator" w:id="0">
    <w:p w:rsidR="0069271D" w:rsidRDefault="00692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6D1F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6D1F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B2769"/>
    <w:rsid w:val="004C6C1C"/>
    <w:rsid w:val="004D7BBA"/>
    <w:rsid w:val="004E3B85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33D"/>
    <w:rsid w:val="00646663"/>
    <w:rsid w:val="0066283C"/>
    <w:rsid w:val="0069271D"/>
    <w:rsid w:val="00697E9C"/>
    <w:rsid w:val="006B2A03"/>
    <w:rsid w:val="006D1FAD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23A1F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68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11AD"/>
    <w:rsid w:val="009F2297"/>
    <w:rsid w:val="00A0560E"/>
    <w:rsid w:val="00A30EFC"/>
    <w:rsid w:val="00A4540A"/>
    <w:rsid w:val="00A544BF"/>
    <w:rsid w:val="00A55979"/>
    <w:rsid w:val="00A66293"/>
    <w:rsid w:val="00A82287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BF3D2D"/>
    <w:rsid w:val="00C22604"/>
    <w:rsid w:val="00C379A0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9960A-388D-4BC4-BCF5-EAB75EA2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48</cp:revision>
  <cp:lastPrinted>2021-12-01T06:28:00Z</cp:lastPrinted>
  <dcterms:created xsi:type="dcterms:W3CDTF">2016-03-02T11:22:00Z</dcterms:created>
  <dcterms:modified xsi:type="dcterms:W3CDTF">2021-12-01T07:17:00Z</dcterms:modified>
</cp:coreProperties>
</file>